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Sometimes patients who have trouble chewing and/or swallowing whole foods need a special diet. The National Dysphagia Diet, published in 2002, developed universal terminology for texture-modified diets. The dysphagia advanced diet (level 3) is one of three levels of texture modification that is used.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Who orders a dysphagia advanced diet?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Normally a speech and language pathologist will recommend a dysphagia advanced diet after evaluating a patient who has problems chewing or swallowing food. In some cases, medical tests are used to determine the best texture for a patient.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What types of foods are allowed on this diet?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Foods that are nearly normal textures are allowed on the dysphagia advanced diet, with the exception of crunchy, sticky, or very hard foods. The diet includes bite-sized foods that are moist. Foods that are allowed on dysphagia level 1 and level 2 diets also are allowed on the dysphagia advanced diet.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It is important to include a variety of foods from all different food groups when providing a dysphagia advanced diet, including fruits, vegetables, grains, meats and meat substitutes, and dairy foods. The following table provides specific information about foods that are allowed on the dysphagia level 3 diet. </w:t>
      </w:r>
    </w:p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Food Textures for Dysphagia Advanced Diet (dysphagia level 3)</w:t>
      </w:r>
    </w:p>
    <w:tbl>
      <w:tblPr>
        <w:tblStyle w:val="Table1"/>
        <w:bidi w:val="0"/>
        <w:tblW w:w="100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40"/>
        <w:gridCol w:w="2835"/>
        <w:gridCol w:w="4920"/>
        <w:tblGridChange w:id="0">
          <w:tblGrid>
            <w:gridCol w:w="2340"/>
            <w:gridCol w:w="2835"/>
            <w:gridCol w:w="492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Food Groups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Foods Allowed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Foods to Avoid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Meat and meat substitutes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Thin-sliced, tender, or ground meats or poultry, well-moistened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Fish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Eggs (any preparation acceptable)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Yogurt (no nuts or coconut)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Casseroles with small chunks of tender or ground meat</w:t>
            </w:r>
          </w:p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Tough or dry meats or poultry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Dry fish or fish with bones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Chunky peanut butter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Yogurt with nuts or coconut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Bread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Well-moistened breads, biscuits, muffins, pancakes, waffles, etc (add jelly, margarine, and other toppings to moisten well)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Dry bread, toast, crackers, etc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Tough, crusty breads, such as French bread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Cereals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All well-moistened cereals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Coarse or dry cereals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Fruits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All canned and cooked fruits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Soft, peeled, ripe fresh fruits, such as peaches, kiwi, mangos, cantaloupe, etc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Soft berries with small seeds, such as strawberries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Hard-to-chew fresh fruits, such as apples or pears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Stringy, pulpy fruits, such as papaya, pineapple, or mango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Fresh fruits with tough peels, such as grapes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Prunes, apricots, and other dried fruits (unless cooked)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Vegetables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All cooked, tender vegetables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Shredded lettuce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All raw vegetables, except shredded lettuce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Cooked corn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Rubbery cooked vegetables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Potatoes and starches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All, including rice and tender fried potatoes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Tough or crisp fried potatoes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Desserts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All desserts, except those on the avoid list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Dry cakes or cookies that are chewy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Anything with nuts, seeds, dry fruits, coconut, and pineapple</w:t>
            </w:r>
          </w:p>
        </w:tc>
      </w:tr>
      <w:tr>
        <w:trPr>
          <w:trHeight w:val="11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Beverages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6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Any beverage of recommended consistency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60" w:line="327.2723839499727" w:lineRule="auto"/>
              <w:contextualSpacing w:val="0"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160" w:line="327.2723839499727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color w:val="333333"/>
        <w:highlight w:val="white"/>
        <w:rtl w:val="0"/>
      </w:rPr>
      <w:t xml:space="preserve">Dysphagia Level 3 Diet 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color w:val="333333"/>
        <w:highlight w:val="white"/>
        <w:rtl w:val="0"/>
      </w:rPr>
      <w:t xml:space="preserve">(dysphagia advanced)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