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Dysphagia Level 1 Diet 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(dysphagia pureed)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Sometimes patients who have trouble chewing and/or swallowing whole foods need a special diet. The National Dysphagia Diet, published in 2002, developed universal terminology for texture-modified diets. The dysphagia pureed diet (level 1) is one of three levels of texture modification that is used.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Who orders a dysphagia pureed diet?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Normally a speech therapist will recommend a dysphagia pureed diet after evaluating a patient who has problems chewing or swallowing food. In some cases, medical tests are used to determine the best texture for a patient.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What types of foods are allowed on this diet?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All foods are totally pureed to a pudding-like consistency. No coarse textures, raw fruits or vegetables, or nuts are allowed. It is important to include a variety of foods from all different food groups when providing a pureed diet, including fruits, vegetables, grains, meats and meat substitutes, and dairy foods.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Does pureed food taste bland?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Unless you have another dietary restriction, you should receive food that is flavored and seasoned like the food on a regular consistency diet.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Are regular liquids allowed on a dysphagia pureed diet?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Possibly. Regular liquids are OK for some patients. However, depending on your condition, you might need to have thickened liquids, so you can swallow them safely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Talk to your speech and language pathologist to learn more.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What is a slurry?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 slurry is a soft, moist mixture often used for people with swallowing problems. An example is a slice of bread or a pancake moistened with milk. The moisture of the liquid makes it easier for someone with swallowing problems to swallow soft bread products.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Food  Textures  for  Dysphagia  Pureed  Diet(dysphagia level 1)</w:t>
      </w:r>
    </w:p>
    <w:tbl>
      <w:tblPr>
        <w:tblStyle w:val="Table1"/>
        <w:bidi w:val="0"/>
        <w:tblW w:w="81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45"/>
        <w:gridCol w:w="3015"/>
        <w:gridCol w:w="3585"/>
        <w:tblGridChange w:id="0">
          <w:tblGrid>
            <w:gridCol w:w="1545"/>
            <w:gridCol w:w="3015"/>
            <w:gridCol w:w="35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 Groups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Foods Allowed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Foods to Avoid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Meats and meat substitutes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Pureed meats (pureed to pudding-like consistency)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Smooth soufflés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Soft, moist tofu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Hummus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Whole, ground, or chopped meats, fish, or poultry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Legumes or lentils, unless pureed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Cheese and cottage cheese, unless pureed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Eggs that are not pureed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Nut butters, unless pureed into other foods to correct consistency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Breads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Pureed bread mixes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Pregelled slurried breads, pancakes, French toast, waffles, sweet rolls, etc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other bread, rolls, crackers, biscuits, pancakes, French toast, muffins, etc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Cereals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Smooth cooked cereals, such as farina-type cereals with a pudding-like consistency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Dry cereals and cooked cereals with lumps, seeds, or chunks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Oatmeal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Fruits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Pureed fruit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Well-mashed fresh bananas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Whole fruits (fresh, frozen, canned, or dried)</w:t>
            </w:r>
          </w:p>
        </w:tc>
      </w:tr>
      <w:tr>
        <w:trPr>
          <w:trHeight w:val="164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Vegetables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Pureed vegetables without lumps, pulp, or seeds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Tomato sauce without seeds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other vegetables that are not pureed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Potatoes and starches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Mashed potatoes and pureed potatoes with gravy, butter, margarine, or sour cream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Well-cooked pasta, noodles, or pureed rice (blended to a smooth consistency)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other potatoes, rice, and noodles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Plain mashed potatoes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Cooked grains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Desserts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Smooth pudding custards, yogurt, pureed desserts, and soufflés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other desserts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If patient is on thickened liquids, restrict ice cream, ices, milk shakes, frozen yogurt, gelatin, and other frozen desserts, because they are thin-liquid consistency at room temperature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Beverages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Any smooth, homogenous beverage without lumps, chunks, or pulp (may need to thicken to proper consistency)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References and recommended readings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American Dietetic Association. Level 1 pureed diet: patient handout. In: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Nutrition Care Manual®</w:t>
      </w:r>
      <w:r w:rsidDel="00000000" w:rsidR="00000000" w:rsidRPr="00000000">
        <w:rPr>
          <w:color w:val="333333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Available to subscribers at: </w:t>
      </w:r>
      <w:hyperlink r:id="rId5">
        <w:r w:rsidDel="00000000" w:rsidR="00000000" w:rsidRPr="00000000">
          <w:rPr>
            <w:color w:val="4481a6"/>
            <w:highlight w:val="white"/>
            <w:rtl w:val="0"/>
          </w:rPr>
          <w:t xml:space="preserve">www.nutritioncaremanual.org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Accessed January 10, 2011.</w:t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National Dysphagia Diet Task Force. 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National Dysphagia Diet: Standardization for Optimal Care.</w:t>
      </w: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Chicago, IL: The American Dietetic Association; 2002.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utritioncaremanual.org/" TargetMode="External"/></Relationships>
</file>